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96343D" w:rsidP="009634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VFS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9634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6343D">
        <w:rPr>
          <w:rFonts w:ascii="Arial" w:hAnsi="Arial" w:cs="Arial"/>
          <w:sz w:val="20"/>
          <w:szCs w:val="20"/>
        </w:rPr>
        <w:t>18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6343D" w:rsidRPr="0096343D">
        <w:rPr>
          <w:rFonts w:ascii="Arial" w:hAnsi="Arial" w:cs="Arial"/>
          <w:sz w:val="20"/>
          <w:szCs w:val="20"/>
        </w:rPr>
        <w:t>Viet First Securities Corporation</w:t>
      </w:r>
      <w:r w:rsidR="0096343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6343D" w:rsidRDefault="0096343D" w:rsidP="00455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96343D">
        <w:rPr>
          <w:rFonts w:ascii="Arial" w:hAnsi="Arial" w:cs="Arial"/>
          <w:sz w:val="20"/>
          <w:szCs w:val="20"/>
        </w:rPr>
        <w:t xml:space="preserve">Approve the </w:t>
      </w:r>
      <w:r>
        <w:rPr>
          <w:rFonts w:ascii="Arial" w:hAnsi="Arial" w:cs="Arial"/>
          <w:sz w:val="20"/>
          <w:szCs w:val="20"/>
        </w:rPr>
        <w:t>2019 operation report of</w:t>
      </w:r>
      <w:r w:rsidRPr="0096343D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</w:t>
      </w:r>
      <w:r w:rsidRPr="0096343D">
        <w:rPr>
          <w:rFonts w:ascii="Arial" w:hAnsi="Arial" w:cs="Arial"/>
          <w:sz w:val="20"/>
          <w:szCs w:val="20"/>
        </w:rPr>
        <w:t xml:space="preserve"> and the 2020 plan with the following main targets: </w:t>
      </w:r>
      <w:bookmarkStart w:id="0" w:name="_GoBack"/>
      <w:bookmarkEnd w:id="0"/>
    </w:p>
    <w:p w:rsidR="0096343D" w:rsidRDefault="0096343D" w:rsidP="0096343D">
      <w:pPr>
        <w:spacing w:line="360" w:lineRule="auto"/>
        <w:rPr>
          <w:rFonts w:ascii="Arial" w:hAnsi="Arial" w:cs="Arial"/>
          <w:sz w:val="20"/>
          <w:szCs w:val="20"/>
        </w:rPr>
      </w:pPr>
      <w:r w:rsidRPr="0096343D"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875"/>
        <w:gridCol w:w="1980"/>
        <w:gridCol w:w="1710"/>
        <w:gridCol w:w="2538"/>
      </w:tblGrid>
      <w:tr w:rsidR="0096343D" w:rsidTr="0096343D">
        <w:tc>
          <w:tcPr>
            <w:tcW w:w="473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75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8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71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2538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Growth 2020/ 2019</w:t>
            </w:r>
          </w:p>
        </w:tc>
      </w:tr>
      <w:tr w:rsidR="0096343D" w:rsidTr="0096343D">
        <w:tc>
          <w:tcPr>
            <w:tcW w:w="473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75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8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48,591</w:t>
            </w:r>
          </w:p>
        </w:tc>
        <w:tc>
          <w:tcPr>
            <w:tcW w:w="171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52,184</w:t>
            </w:r>
          </w:p>
        </w:tc>
        <w:tc>
          <w:tcPr>
            <w:tcW w:w="2538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96343D" w:rsidTr="0096343D">
        <w:tc>
          <w:tcPr>
            <w:tcW w:w="473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Brokerage revenue</w:t>
            </w:r>
          </w:p>
        </w:tc>
        <w:tc>
          <w:tcPr>
            <w:tcW w:w="198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9,831</w:t>
            </w:r>
          </w:p>
        </w:tc>
        <w:tc>
          <w:tcPr>
            <w:tcW w:w="171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10,323</w:t>
            </w:r>
          </w:p>
        </w:tc>
        <w:tc>
          <w:tcPr>
            <w:tcW w:w="2538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96343D" w:rsidTr="0096343D">
        <w:tc>
          <w:tcPr>
            <w:tcW w:w="473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5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Service revenue</w:t>
            </w:r>
          </w:p>
        </w:tc>
        <w:tc>
          <w:tcPr>
            <w:tcW w:w="198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20,847</w:t>
            </w:r>
          </w:p>
        </w:tc>
        <w:tc>
          <w:tcPr>
            <w:tcW w:w="171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24,166</w:t>
            </w:r>
          </w:p>
        </w:tc>
        <w:tc>
          <w:tcPr>
            <w:tcW w:w="2538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96343D" w:rsidTr="0096343D">
        <w:tc>
          <w:tcPr>
            <w:tcW w:w="473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5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Self-employment revenue</w:t>
            </w:r>
          </w:p>
        </w:tc>
        <w:tc>
          <w:tcPr>
            <w:tcW w:w="198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4,655</w:t>
            </w:r>
          </w:p>
        </w:tc>
        <w:tc>
          <w:tcPr>
            <w:tcW w:w="171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2538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-36%</w:t>
            </w:r>
          </w:p>
        </w:tc>
      </w:tr>
      <w:tr w:rsidR="0096343D" w:rsidTr="0096343D">
        <w:tc>
          <w:tcPr>
            <w:tcW w:w="473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6343D">
              <w:rPr>
                <w:rFonts w:ascii="Arial" w:hAnsi="Arial" w:cs="Arial"/>
                <w:sz w:val="20"/>
                <w:szCs w:val="20"/>
              </w:rPr>
              <w:t xml:space="preserve">onsulting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198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2,340</w:t>
            </w:r>
          </w:p>
        </w:tc>
        <w:tc>
          <w:tcPr>
            <w:tcW w:w="171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3,024</w:t>
            </w:r>
          </w:p>
        </w:tc>
        <w:tc>
          <w:tcPr>
            <w:tcW w:w="2538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6343D" w:rsidTr="0096343D">
        <w:tc>
          <w:tcPr>
            <w:tcW w:w="473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5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interest</w:t>
            </w:r>
          </w:p>
        </w:tc>
        <w:tc>
          <w:tcPr>
            <w:tcW w:w="198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6,711</w:t>
            </w:r>
          </w:p>
        </w:tc>
        <w:tc>
          <w:tcPr>
            <w:tcW w:w="171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7,367</w:t>
            </w:r>
          </w:p>
        </w:tc>
        <w:tc>
          <w:tcPr>
            <w:tcW w:w="2538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6343D" w:rsidTr="0096343D">
        <w:tc>
          <w:tcPr>
            <w:tcW w:w="473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5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6343D">
              <w:rPr>
                <w:rFonts w:ascii="Arial" w:hAnsi="Arial" w:cs="Arial"/>
                <w:sz w:val="20"/>
                <w:szCs w:val="20"/>
              </w:rPr>
              <w:t>ther income</w:t>
            </w:r>
          </w:p>
        </w:tc>
        <w:tc>
          <w:tcPr>
            <w:tcW w:w="1980" w:type="dxa"/>
          </w:tcPr>
          <w:p w:rsidR="0096343D" w:rsidRDefault="00CD4E16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4,205</w:t>
            </w:r>
          </w:p>
        </w:tc>
        <w:tc>
          <w:tcPr>
            <w:tcW w:w="1710" w:type="dxa"/>
          </w:tcPr>
          <w:p w:rsidR="0096343D" w:rsidRDefault="00CD4E16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4,303</w:t>
            </w:r>
          </w:p>
        </w:tc>
        <w:tc>
          <w:tcPr>
            <w:tcW w:w="2538" w:type="dxa"/>
          </w:tcPr>
          <w:p w:rsidR="0096343D" w:rsidRDefault="00CD4E16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96343D" w:rsidTr="0096343D">
        <w:tc>
          <w:tcPr>
            <w:tcW w:w="473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875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</w:t>
            </w:r>
          </w:p>
        </w:tc>
        <w:tc>
          <w:tcPr>
            <w:tcW w:w="198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343D">
              <w:rPr>
                <w:rFonts w:ascii="Arial" w:hAnsi="Arial" w:cs="Arial"/>
                <w:sz w:val="20"/>
                <w:szCs w:val="20"/>
              </w:rPr>
              <w:t>37,228</w:t>
            </w:r>
          </w:p>
        </w:tc>
        <w:tc>
          <w:tcPr>
            <w:tcW w:w="1710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6343D">
              <w:rPr>
                <w:rFonts w:ascii="Arial" w:hAnsi="Arial" w:cs="Arial"/>
                <w:sz w:val="20"/>
                <w:szCs w:val="20"/>
              </w:rPr>
              <w:t>2,434</w:t>
            </w:r>
          </w:p>
        </w:tc>
        <w:tc>
          <w:tcPr>
            <w:tcW w:w="2538" w:type="dxa"/>
          </w:tcPr>
          <w:p w:rsidR="0096343D" w:rsidRDefault="00CD4E16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96343D" w:rsidTr="0096343D">
        <w:tc>
          <w:tcPr>
            <w:tcW w:w="473" w:type="dxa"/>
          </w:tcPr>
          <w:p w:rsidR="0096343D" w:rsidRDefault="0096343D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75" w:type="dxa"/>
          </w:tcPr>
          <w:p w:rsidR="0096343D" w:rsidRDefault="00CD4E16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980" w:type="dxa"/>
          </w:tcPr>
          <w:p w:rsidR="0096343D" w:rsidRDefault="00CD4E16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6,720</w:t>
            </w:r>
          </w:p>
        </w:tc>
        <w:tc>
          <w:tcPr>
            <w:tcW w:w="1710" w:type="dxa"/>
          </w:tcPr>
          <w:p w:rsidR="0096343D" w:rsidRDefault="00CD4E16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7,799</w:t>
            </w:r>
          </w:p>
        </w:tc>
        <w:tc>
          <w:tcPr>
            <w:tcW w:w="2538" w:type="dxa"/>
          </w:tcPr>
          <w:p w:rsidR="0096343D" w:rsidRDefault="00CD4E16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</w:tbl>
    <w:p w:rsidR="0096343D" w:rsidRDefault="0096343D" w:rsidP="0096343D">
      <w:pPr>
        <w:spacing w:line="360" w:lineRule="auto"/>
        <w:rPr>
          <w:rFonts w:ascii="Arial" w:hAnsi="Arial" w:cs="Arial"/>
          <w:sz w:val="20"/>
          <w:szCs w:val="20"/>
        </w:rPr>
      </w:pPr>
    </w:p>
    <w:p w:rsidR="00CD4E16" w:rsidRDefault="00CD4E16" w:rsidP="00455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o</w:t>
      </w:r>
      <w:r w:rsidRPr="00CD4E16">
        <w:rPr>
          <w:rFonts w:ascii="Arial" w:hAnsi="Arial" w:cs="Arial"/>
          <w:sz w:val="20"/>
          <w:szCs w:val="20"/>
        </w:rPr>
        <w:t>peration Report of the Board of Dire</w:t>
      </w:r>
      <w:r>
        <w:rPr>
          <w:rFonts w:ascii="Arial" w:hAnsi="Arial" w:cs="Arial"/>
          <w:sz w:val="20"/>
          <w:szCs w:val="20"/>
        </w:rPr>
        <w:t>ctors in 2019 and the 2020 plan</w:t>
      </w:r>
    </w:p>
    <w:p w:rsidR="00CD4E16" w:rsidRDefault="00CD4E16" w:rsidP="00455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o</w:t>
      </w:r>
      <w:r w:rsidRPr="00CD4E16">
        <w:rPr>
          <w:rFonts w:ascii="Arial" w:hAnsi="Arial" w:cs="Arial"/>
          <w:sz w:val="20"/>
          <w:szCs w:val="20"/>
        </w:rPr>
        <w:t>peration Report of the Supervisory B</w:t>
      </w:r>
      <w:r>
        <w:rPr>
          <w:rFonts w:ascii="Arial" w:hAnsi="Arial" w:cs="Arial"/>
          <w:sz w:val="20"/>
          <w:szCs w:val="20"/>
        </w:rPr>
        <w:t>oard in 2019 and the 2020 plan</w:t>
      </w:r>
    </w:p>
    <w:p w:rsidR="00CD4E16" w:rsidRDefault="00CD4E16" w:rsidP="00455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D4E16">
        <w:rPr>
          <w:rFonts w:ascii="Arial" w:hAnsi="Arial" w:cs="Arial"/>
          <w:sz w:val="20"/>
          <w:szCs w:val="20"/>
        </w:rPr>
        <w:t>rticle 4. Approving the audited financial statement</w:t>
      </w:r>
      <w:r>
        <w:rPr>
          <w:rFonts w:ascii="Arial" w:hAnsi="Arial" w:cs="Arial"/>
          <w:sz w:val="20"/>
          <w:szCs w:val="20"/>
        </w:rPr>
        <w:t xml:space="preserve"> of 2019 including</w:t>
      </w:r>
      <w:r w:rsidRPr="00CD4E16">
        <w:rPr>
          <w:rFonts w:ascii="Arial" w:hAnsi="Arial" w:cs="Arial"/>
          <w:sz w:val="20"/>
          <w:szCs w:val="20"/>
        </w:rPr>
        <w:t xml:space="preserve">: </w:t>
      </w:r>
    </w:p>
    <w:p w:rsidR="00CD4E16" w:rsidRDefault="00CD4E16" w:rsidP="00455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Balance sheet</w:t>
      </w:r>
    </w:p>
    <w:p w:rsidR="00CD4E16" w:rsidRDefault="00CD4E16" w:rsidP="00455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D4E16">
        <w:rPr>
          <w:rFonts w:ascii="Arial" w:hAnsi="Arial" w:cs="Arial"/>
          <w:sz w:val="20"/>
          <w:szCs w:val="20"/>
        </w:rPr>
        <w:t xml:space="preserve"> Report on the results of prod</w:t>
      </w:r>
      <w:r>
        <w:rPr>
          <w:rFonts w:ascii="Arial" w:hAnsi="Arial" w:cs="Arial"/>
          <w:sz w:val="20"/>
          <w:szCs w:val="20"/>
        </w:rPr>
        <w:t>uction and business activities</w:t>
      </w:r>
    </w:p>
    <w:p w:rsidR="00CD4E16" w:rsidRDefault="00CD4E16" w:rsidP="00455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Cash flow statement</w:t>
      </w:r>
    </w:p>
    <w:p w:rsidR="00CD4E16" w:rsidRDefault="00CD4E16" w:rsidP="00455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4E1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otes to the financial statement</w:t>
      </w:r>
    </w:p>
    <w:p w:rsidR="00CD4E16" w:rsidRDefault="00CD4E16" w:rsidP="00455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Pr="00CD4E16">
        <w:rPr>
          <w:rFonts w:ascii="Arial" w:hAnsi="Arial" w:cs="Arial"/>
          <w:sz w:val="20"/>
          <w:szCs w:val="20"/>
        </w:rPr>
        <w:t xml:space="preserve"> Approve the content of the </w:t>
      </w:r>
      <w:r>
        <w:rPr>
          <w:rFonts w:ascii="Arial" w:hAnsi="Arial" w:cs="Arial"/>
          <w:sz w:val="20"/>
          <w:szCs w:val="20"/>
        </w:rPr>
        <w:t>statement on choosing an auditor for 2020</w:t>
      </w:r>
    </w:p>
    <w:p w:rsidR="00CD4E16" w:rsidRDefault="00CD4E16" w:rsidP="00455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D4E16">
        <w:rPr>
          <w:rFonts w:ascii="Arial" w:hAnsi="Arial" w:cs="Arial"/>
          <w:sz w:val="20"/>
          <w:szCs w:val="20"/>
        </w:rPr>
        <w:t xml:space="preserve">uthorize </w:t>
      </w:r>
      <w:r>
        <w:rPr>
          <w:rFonts w:ascii="Arial" w:hAnsi="Arial" w:cs="Arial"/>
          <w:sz w:val="20"/>
          <w:szCs w:val="20"/>
        </w:rPr>
        <w:t>the Board of Directors to choose a reputable auditing unit w</w:t>
      </w:r>
      <w:r w:rsidRPr="00CD4E16">
        <w:rPr>
          <w:rFonts w:ascii="Arial" w:hAnsi="Arial" w:cs="Arial"/>
          <w:sz w:val="20"/>
          <w:szCs w:val="20"/>
        </w:rPr>
        <w:t xml:space="preserve">ith </w:t>
      </w:r>
      <w:r>
        <w:rPr>
          <w:rFonts w:ascii="Arial" w:hAnsi="Arial" w:cs="Arial"/>
          <w:sz w:val="20"/>
          <w:szCs w:val="20"/>
        </w:rPr>
        <w:t>good</w:t>
      </w:r>
      <w:r w:rsidRPr="00CD4E16">
        <w:rPr>
          <w:rFonts w:ascii="Arial" w:hAnsi="Arial" w:cs="Arial"/>
          <w:sz w:val="20"/>
          <w:szCs w:val="20"/>
        </w:rPr>
        <w:t xml:space="preserve"> quality of auditing, </w:t>
      </w:r>
      <w:r>
        <w:rPr>
          <w:rFonts w:ascii="Arial" w:hAnsi="Arial" w:cs="Arial"/>
          <w:sz w:val="20"/>
          <w:szCs w:val="20"/>
        </w:rPr>
        <w:t xml:space="preserve">reasonable auditing fee and eligibility </w:t>
      </w:r>
      <w:r w:rsidRPr="00CD4E16">
        <w:rPr>
          <w:rFonts w:ascii="Arial" w:hAnsi="Arial" w:cs="Arial"/>
          <w:sz w:val="20"/>
          <w:szCs w:val="20"/>
        </w:rPr>
        <w:t>to provide audit services approved by th</w:t>
      </w:r>
      <w:r w:rsidR="00A9447E">
        <w:rPr>
          <w:rFonts w:ascii="Arial" w:hAnsi="Arial" w:cs="Arial"/>
          <w:sz w:val="20"/>
          <w:szCs w:val="20"/>
        </w:rPr>
        <w:t>e State Securities Commission to audit the securities companies in the 2020 list</w:t>
      </w:r>
    </w:p>
    <w:p w:rsidR="00993C9E" w:rsidRDefault="00993C9E" w:rsidP="0096343D">
      <w:pPr>
        <w:spacing w:line="360" w:lineRule="auto"/>
        <w:rPr>
          <w:rFonts w:ascii="Arial" w:hAnsi="Arial" w:cs="Arial"/>
          <w:sz w:val="20"/>
          <w:szCs w:val="20"/>
        </w:rPr>
      </w:pPr>
      <w:r w:rsidRPr="00993C9E">
        <w:rPr>
          <w:rFonts w:ascii="Arial" w:hAnsi="Arial" w:cs="Arial"/>
          <w:sz w:val="20"/>
          <w:szCs w:val="20"/>
        </w:rPr>
        <w:lastRenderedPageBreak/>
        <w:t>Article 6</w:t>
      </w:r>
      <w:r>
        <w:rPr>
          <w:rFonts w:ascii="Arial" w:hAnsi="Arial" w:cs="Arial"/>
          <w:sz w:val="20"/>
          <w:szCs w:val="20"/>
        </w:rPr>
        <w:t>:</w:t>
      </w:r>
      <w:r w:rsidRPr="00993C9E">
        <w:rPr>
          <w:rFonts w:ascii="Arial" w:hAnsi="Arial" w:cs="Arial"/>
          <w:sz w:val="20"/>
          <w:szCs w:val="20"/>
        </w:rPr>
        <w:t xml:space="preserve"> Approving</w:t>
      </w:r>
      <w:r>
        <w:rPr>
          <w:rFonts w:ascii="Arial" w:hAnsi="Arial" w:cs="Arial"/>
          <w:sz w:val="20"/>
          <w:szCs w:val="20"/>
        </w:rPr>
        <w:t xml:space="preserve"> the content of remuneration payment to</w:t>
      </w:r>
      <w:r w:rsidRPr="00993C9E">
        <w:rPr>
          <w:rFonts w:ascii="Arial" w:hAnsi="Arial" w:cs="Arial"/>
          <w:sz w:val="20"/>
          <w:szCs w:val="20"/>
        </w:rPr>
        <w:t xml:space="preserve"> the Board of Directors and the Supervisory Board in 2019 and the payment plan for 2020; Profit distribution plan for 2019 and plan for 2020 are as follows: </w:t>
      </w:r>
    </w:p>
    <w:p w:rsidR="00993C9E" w:rsidRDefault="00993C9E" w:rsidP="0096343D">
      <w:pPr>
        <w:spacing w:line="360" w:lineRule="auto"/>
        <w:rPr>
          <w:rFonts w:ascii="Arial" w:hAnsi="Arial" w:cs="Arial"/>
          <w:sz w:val="20"/>
          <w:szCs w:val="20"/>
        </w:rPr>
      </w:pPr>
      <w:r w:rsidRPr="00993C9E">
        <w:rPr>
          <w:rFonts w:ascii="Arial" w:hAnsi="Arial" w:cs="Arial"/>
          <w:sz w:val="20"/>
          <w:szCs w:val="20"/>
        </w:rPr>
        <w:t xml:space="preserve">1.  Remuneration of the Board of Directors and </w:t>
      </w:r>
      <w:r>
        <w:rPr>
          <w:rFonts w:ascii="Arial" w:hAnsi="Arial" w:cs="Arial"/>
          <w:sz w:val="20"/>
          <w:szCs w:val="20"/>
        </w:rPr>
        <w:t>Supervisor Board</w:t>
      </w:r>
      <w:r w:rsidRPr="00993C9E">
        <w:rPr>
          <w:rFonts w:ascii="Arial" w:hAnsi="Arial" w:cs="Arial"/>
          <w:sz w:val="20"/>
          <w:szCs w:val="20"/>
        </w:rPr>
        <w:t xml:space="preserve"> in 2019: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210"/>
        <w:gridCol w:w="2628"/>
      </w:tblGrid>
      <w:tr w:rsidR="00993C9E" w:rsidTr="00993C9E">
        <w:tc>
          <w:tcPr>
            <w:tcW w:w="73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210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62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in whole year of 2019 (VND)</w:t>
            </w:r>
          </w:p>
        </w:tc>
      </w:tr>
      <w:tr w:rsidR="00993C9E" w:rsidTr="00993C9E">
        <w:tc>
          <w:tcPr>
            <w:tcW w:w="73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0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 for Chair of the Board of Directors </w:t>
            </w:r>
          </w:p>
        </w:tc>
        <w:tc>
          <w:tcPr>
            <w:tcW w:w="262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82,166,672</w:t>
            </w:r>
          </w:p>
        </w:tc>
      </w:tr>
      <w:tr w:rsidR="00993C9E" w:rsidTr="00993C9E">
        <w:tc>
          <w:tcPr>
            <w:tcW w:w="73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0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members of the Board of Directors (04 people)</w:t>
            </w:r>
          </w:p>
        </w:tc>
        <w:tc>
          <w:tcPr>
            <w:tcW w:w="262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338,666,688</w:t>
            </w:r>
          </w:p>
        </w:tc>
      </w:tr>
      <w:tr w:rsidR="00993C9E" w:rsidTr="00993C9E">
        <w:tc>
          <w:tcPr>
            <w:tcW w:w="73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0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 for head of the Supervisor Board </w:t>
            </w:r>
          </w:p>
        </w:tc>
        <w:tc>
          <w:tcPr>
            <w:tcW w:w="262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87,166,672</w:t>
            </w:r>
          </w:p>
        </w:tc>
      </w:tr>
      <w:tr w:rsidR="00993C9E" w:rsidTr="00993C9E">
        <w:tc>
          <w:tcPr>
            <w:tcW w:w="73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10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members of the Supervisor Board (02 people)</w:t>
            </w:r>
          </w:p>
        </w:tc>
        <w:tc>
          <w:tcPr>
            <w:tcW w:w="262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53,499,996</w:t>
            </w:r>
          </w:p>
        </w:tc>
      </w:tr>
      <w:tr w:rsidR="00993C9E" w:rsidTr="00993C9E">
        <w:tc>
          <w:tcPr>
            <w:tcW w:w="73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628" w:type="dxa"/>
          </w:tcPr>
          <w:p w:rsidR="00993C9E" w:rsidRDefault="00993C9E" w:rsidP="00963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561,500,028</w:t>
            </w:r>
          </w:p>
        </w:tc>
      </w:tr>
    </w:tbl>
    <w:p w:rsidR="00993C9E" w:rsidRDefault="00993C9E" w:rsidP="0096343D">
      <w:pPr>
        <w:spacing w:line="360" w:lineRule="auto"/>
        <w:rPr>
          <w:rFonts w:ascii="Arial" w:hAnsi="Arial" w:cs="Arial"/>
          <w:sz w:val="20"/>
          <w:szCs w:val="20"/>
        </w:rPr>
      </w:pPr>
    </w:p>
    <w:p w:rsidR="00993C9E" w:rsidRDefault="00993C9E" w:rsidP="0096343D">
      <w:pPr>
        <w:spacing w:line="360" w:lineRule="auto"/>
        <w:rPr>
          <w:rFonts w:ascii="Arial" w:hAnsi="Arial" w:cs="Arial"/>
          <w:sz w:val="20"/>
          <w:szCs w:val="20"/>
        </w:rPr>
      </w:pPr>
      <w:r w:rsidRPr="00993C9E">
        <w:rPr>
          <w:rFonts w:ascii="Arial" w:hAnsi="Arial" w:cs="Arial"/>
          <w:sz w:val="20"/>
          <w:szCs w:val="20"/>
        </w:rPr>
        <w:t xml:space="preserve">2.  Remuneration plan for the Board of Directors and the </w:t>
      </w:r>
      <w:r>
        <w:rPr>
          <w:rFonts w:ascii="Arial" w:hAnsi="Arial" w:cs="Arial"/>
          <w:sz w:val="20"/>
          <w:szCs w:val="20"/>
        </w:rPr>
        <w:t>Supervisor Board</w:t>
      </w:r>
      <w:r w:rsidRPr="00993C9E">
        <w:rPr>
          <w:rFonts w:ascii="Arial" w:hAnsi="Arial" w:cs="Arial"/>
          <w:sz w:val="20"/>
          <w:szCs w:val="20"/>
        </w:rPr>
        <w:t xml:space="preserve"> in 2020: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210"/>
        <w:gridCol w:w="2628"/>
      </w:tblGrid>
      <w:tr w:rsidR="00993C9E" w:rsidTr="008F1C9C">
        <w:tc>
          <w:tcPr>
            <w:tcW w:w="738" w:type="dxa"/>
          </w:tcPr>
          <w:p w:rsidR="00993C9E" w:rsidRDefault="00993C9E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210" w:type="dxa"/>
          </w:tcPr>
          <w:p w:rsidR="00993C9E" w:rsidRDefault="00993C9E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628" w:type="dxa"/>
          </w:tcPr>
          <w:p w:rsidR="00993C9E" w:rsidRDefault="00993C9E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in whole year of 2019 (VND)</w:t>
            </w:r>
          </w:p>
        </w:tc>
      </w:tr>
      <w:tr w:rsidR="00993C9E" w:rsidTr="008F1C9C">
        <w:tc>
          <w:tcPr>
            <w:tcW w:w="738" w:type="dxa"/>
          </w:tcPr>
          <w:p w:rsidR="00993C9E" w:rsidRDefault="00993C9E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0" w:type="dxa"/>
          </w:tcPr>
          <w:p w:rsidR="00993C9E" w:rsidRDefault="00993C9E" w:rsidP="0099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 for the Board of Directors </w:t>
            </w:r>
          </w:p>
        </w:tc>
        <w:tc>
          <w:tcPr>
            <w:tcW w:w="2628" w:type="dxa"/>
          </w:tcPr>
          <w:p w:rsidR="00993C9E" w:rsidRDefault="00993C9E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435,833,360</w:t>
            </w:r>
          </w:p>
        </w:tc>
      </w:tr>
      <w:tr w:rsidR="00993C9E" w:rsidTr="008F1C9C">
        <w:tc>
          <w:tcPr>
            <w:tcW w:w="738" w:type="dxa"/>
          </w:tcPr>
          <w:p w:rsidR="00993C9E" w:rsidRDefault="00993C9E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0" w:type="dxa"/>
          </w:tcPr>
          <w:p w:rsidR="00993C9E" w:rsidRDefault="00993C9E" w:rsidP="0099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Supervisor Board </w:t>
            </w:r>
          </w:p>
        </w:tc>
        <w:tc>
          <w:tcPr>
            <w:tcW w:w="2628" w:type="dxa"/>
          </w:tcPr>
          <w:p w:rsidR="00993C9E" w:rsidRDefault="00993C9E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150,000,000</w:t>
            </w:r>
          </w:p>
        </w:tc>
      </w:tr>
      <w:tr w:rsidR="00993C9E" w:rsidTr="008F1C9C">
        <w:tc>
          <w:tcPr>
            <w:tcW w:w="738" w:type="dxa"/>
          </w:tcPr>
          <w:p w:rsidR="00993C9E" w:rsidRDefault="00993C9E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:rsidR="00993C9E" w:rsidRDefault="00993C9E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628" w:type="dxa"/>
          </w:tcPr>
          <w:p w:rsidR="00993C9E" w:rsidRDefault="00993C9E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585,833,360</w:t>
            </w:r>
          </w:p>
        </w:tc>
      </w:tr>
    </w:tbl>
    <w:p w:rsidR="00A9447E" w:rsidRDefault="00A9447E" w:rsidP="0096343D">
      <w:pPr>
        <w:spacing w:line="360" w:lineRule="auto"/>
        <w:rPr>
          <w:rFonts w:ascii="Arial" w:hAnsi="Arial" w:cs="Arial"/>
          <w:sz w:val="20"/>
          <w:szCs w:val="20"/>
        </w:rPr>
      </w:pPr>
    </w:p>
    <w:p w:rsidR="00993C9E" w:rsidRDefault="00993C9E" w:rsidP="00993C9E">
      <w:pPr>
        <w:spacing w:line="360" w:lineRule="auto"/>
        <w:rPr>
          <w:rFonts w:ascii="Arial" w:hAnsi="Arial" w:cs="Arial"/>
          <w:sz w:val="20"/>
          <w:szCs w:val="20"/>
        </w:rPr>
      </w:pPr>
      <w:r w:rsidRPr="00993C9E">
        <w:rPr>
          <w:rFonts w:ascii="Arial" w:hAnsi="Arial" w:cs="Arial"/>
          <w:sz w:val="20"/>
          <w:szCs w:val="20"/>
        </w:rPr>
        <w:t xml:space="preserve">3.  Profit distribution plan 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210"/>
        <w:gridCol w:w="2628"/>
      </w:tblGrid>
      <w:tr w:rsidR="00517B2C" w:rsidTr="008F1C9C">
        <w:tc>
          <w:tcPr>
            <w:tcW w:w="73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210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62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517B2C" w:rsidTr="008F1C9C">
        <w:tc>
          <w:tcPr>
            <w:tcW w:w="73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0" w:type="dxa"/>
          </w:tcPr>
          <w:p w:rsidR="00517B2C" w:rsidRDefault="00517B2C" w:rsidP="00517B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Profit after tax in 2019</w:t>
            </w:r>
          </w:p>
        </w:tc>
        <w:tc>
          <w:tcPr>
            <w:tcW w:w="262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6,720,312,981</w:t>
            </w:r>
          </w:p>
        </w:tc>
      </w:tr>
      <w:tr w:rsidR="00517B2C" w:rsidTr="008F1C9C">
        <w:tc>
          <w:tcPr>
            <w:tcW w:w="73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0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</w:t>
            </w:r>
          </w:p>
        </w:tc>
        <w:tc>
          <w:tcPr>
            <w:tcW w:w="262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470,421,909</w:t>
            </w:r>
          </w:p>
        </w:tc>
      </w:tr>
      <w:tr w:rsidR="00517B2C" w:rsidTr="008F1C9C">
        <w:tc>
          <w:tcPr>
            <w:tcW w:w="73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10" w:type="dxa"/>
          </w:tcPr>
          <w:p w:rsidR="00517B2C" w:rsidRDefault="00517B2C" w:rsidP="00517B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 xml:space="preserve">Bonus fund (3% of </w:t>
            </w:r>
            <w:r>
              <w:rPr>
                <w:rFonts w:ascii="Arial" w:hAnsi="Arial" w:cs="Arial"/>
                <w:sz w:val="20"/>
                <w:szCs w:val="20"/>
              </w:rPr>
              <w:t>after-tax profit of</w:t>
            </w:r>
            <w:r w:rsidRPr="00993C9E">
              <w:rPr>
                <w:rFonts w:ascii="Arial" w:hAnsi="Arial" w:cs="Arial"/>
                <w:sz w:val="20"/>
                <w:szCs w:val="20"/>
              </w:rPr>
              <w:t xml:space="preserve"> 2019)</w:t>
            </w:r>
          </w:p>
        </w:tc>
        <w:tc>
          <w:tcPr>
            <w:tcW w:w="262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 xml:space="preserve">201,609,389  </w:t>
            </w:r>
          </w:p>
        </w:tc>
      </w:tr>
      <w:tr w:rsidR="00517B2C" w:rsidTr="008F1C9C">
        <w:tc>
          <w:tcPr>
            <w:tcW w:w="73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10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Welfare fund (20% of net profit after tax was implemented in 2009)</w:t>
            </w:r>
          </w:p>
        </w:tc>
        <w:tc>
          <w:tcPr>
            <w:tcW w:w="262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134,406,260</w:t>
            </w:r>
          </w:p>
        </w:tc>
      </w:tr>
      <w:tr w:rsidR="00517B2C" w:rsidTr="008F1C9C">
        <w:tc>
          <w:tcPr>
            <w:tcW w:w="73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10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Appropriation to financial forecasting fund and professional risk fund (29% of profit after tax was implemented in 2012)</w:t>
            </w:r>
          </w:p>
        </w:tc>
        <w:tc>
          <w:tcPr>
            <w:tcW w:w="262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134,406,260</w:t>
            </w:r>
          </w:p>
        </w:tc>
      </w:tr>
      <w:tr w:rsidR="00517B2C" w:rsidTr="008F1C9C">
        <w:tc>
          <w:tcPr>
            <w:tcW w:w="73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0" w:type="dxa"/>
          </w:tcPr>
          <w:p w:rsidR="00517B2C" w:rsidRDefault="00517B2C" w:rsidP="00517B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Dividend in 2019</w:t>
            </w:r>
          </w:p>
        </w:tc>
        <w:tc>
          <w:tcPr>
            <w:tcW w:w="262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7B2C" w:rsidTr="008F1C9C">
        <w:tc>
          <w:tcPr>
            <w:tcW w:w="73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10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Profit after tax after making deductions for quarters</w:t>
            </w:r>
          </w:p>
        </w:tc>
        <w:tc>
          <w:tcPr>
            <w:tcW w:w="2628" w:type="dxa"/>
          </w:tcPr>
          <w:p w:rsidR="00517B2C" w:rsidRDefault="00517B2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3C9E">
              <w:rPr>
                <w:rFonts w:ascii="Arial" w:hAnsi="Arial" w:cs="Arial"/>
                <w:sz w:val="20"/>
                <w:szCs w:val="20"/>
              </w:rPr>
              <w:t>6,249,891,072</w:t>
            </w:r>
          </w:p>
        </w:tc>
      </w:tr>
    </w:tbl>
    <w:p w:rsidR="00993C9E" w:rsidRDefault="00993C9E" w:rsidP="00993C9E">
      <w:pPr>
        <w:spacing w:line="360" w:lineRule="auto"/>
        <w:rPr>
          <w:rFonts w:ascii="Arial" w:hAnsi="Arial" w:cs="Arial"/>
          <w:sz w:val="20"/>
          <w:szCs w:val="20"/>
        </w:rPr>
      </w:pPr>
    </w:p>
    <w:p w:rsidR="00517B2C" w:rsidRDefault="00517B2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7B2C">
        <w:rPr>
          <w:rFonts w:ascii="Arial" w:hAnsi="Arial" w:cs="Arial"/>
          <w:sz w:val="20"/>
          <w:szCs w:val="20"/>
        </w:rPr>
        <w:t xml:space="preserve">4.  Profit distribution plan 2020 </w:t>
      </w:r>
    </w:p>
    <w:p w:rsidR="00517B2C" w:rsidRDefault="00517B2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Annual General Meeting of Shareholders</w:t>
      </w:r>
      <w:r w:rsidRPr="00517B2C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no dividend payment in 2020</w:t>
      </w:r>
    </w:p>
    <w:p w:rsidR="00517B2C" w:rsidRDefault="00517B2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7B2C">
        <w:rPr>
          <w:rFonts w:ascii="Arial" w:hAnsi="Arial" w:cs="Arial"/>
          <w:sz w:val="20"/>
          <w:szCs w:val="20"/>
        </w:rPr>
        <w:lastRenderedPageBreak/>
        <w:t>Article 7</w:t>
      </w:r>
      <w:r>
        <w:rPr>
          <w:rFonts w:ascii="Arial" w:hAnsi="Arial" w:cs="Arial"/>
          <w:sz w:val="20"/>
          <w:szCs w:val="20"/>
        </w:rPr>
        <w:t>:</w:t>
      </w:r>
      <w:r w:rsidRPr="00517B2C">
        <w:rPr>
          <w:rFonts w:ascii="Arial" w:hAnsi="Arial" w:cs="Arial"/>
          <w:sz w:val="20"/>
          <w:szCs w:val="20"/>
        </w:rPr>
        <w:t xml:space="preserve"> Approving the content of the Chairman of </w:t>
      </w:r>
      <w:r>
        <w:rPr>
          <w:rFonts w:ascii="Arial" w:hAnsi="Arial" w:cs="Arial"/>
          <w:sz w:val="20"/>
          <w:szCs w:val="20"/>
        </w:rPr>
        <w:t xml:space="preserve">the Board of Directors of </w:t>
      </w:r>
      <w:r w:rsidRPr="00517B2C">
        <w:rPr>
          <w:rFonts w:ascii="Arial" w:hAnsi="Arial" w:cs="Arial"/>
          <w:sz w:val="20"/>
          <w:szCs w:val="20"/>
        </w:rPr>
        <w:t xml:space="preserve">Viet First Securities Corporation </w:t>
      </w:r>
      <w:r>
        <w:rPr>
          <w:rFonts w:ascii="Arial" w:hAnsi="Arial" w:cs="Arial"/>
          <w:sz w:val="20"/>
          <w:szCs w:val="20"/>
        </w:rPr>
        <w:t>cum</w:t>
      </w:r>
      <w:r w:rsidRPr="00517B2C">
        <w:rPr>
          <w:rFonts w:ascii="Arial" w:hAnsi="Arial" w:cs="Arial"/>
          <w:sz w:val="20"/>
          <w:szCs w:val="20"/>
        </w:rPr>
        <w:t xml:space="preserve"> General Di</w:t>
      </w:r>
      <w:r>
        <w:rPr>
          <w:rFonts w:ascii="Arial" w:hAnsi="Arial" w:cs="Arial"/>
          <w:sz w:val="20"/>
          <w:szCs w:val="20"/>
        </w:rPr>
        <w:t>rector of the Company in 2020</w:t>
      </w:r>
    </w:p>
    <w:p w:rsidR="00517B2C" w:rsidRDefault="00517B2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Pr="00517B2C">
        <w:rPr>
          <w:rFonts w:ascii="Arial" w:hAnsi="Arial" w:cs="Arial"/>
          <w:sz w:val="20"/>
          <w:szCs w:val="20"/>
        </w:rPr>
        <w:t xml:space="preserve"> Approve the content of </w:t>
      </w:r>
      <w:r>
        <w:rPr>
          <w:rFonts w:ascii="Arial" w:hAnsi="Arial" w:cs="Arial"/>
          <w:sz w:val="20"/>
          <w:szCs w:val="20"/>
        </w:rPr>
        <w:t>statement No. 08/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HD</w:t>
      </w:r>
      <w:r w:rsidRPr="00517B2C">
        <w:rPr>
          <w:rFonts w:ascii="Arial" w:hAnsi="Arial" w:cs="Arial"/>
          <w:sz w:val="20"/>
          <w:szCs w:val="20"/>
        </w:rPr>
        <w:t xml:space="preserve">QT - VFS </w:t>
      </w:r>
      <w:r>
        <w:rPr>
          <w:rFonts w:ascii="Arial" w:hAnsi="Arial" w:cs="Arial"/>
          <w:sz w:val="20"/>
          <w:szCs w:val="20"/>
        </w:rPr>
        <w:t>on bond issuance plan in 2020</w:t>
      </w:r>
    </w:p>
    <w:p w:rsidR="00517B2C" w:rsidRDefault="00517B2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Pr="00517B2C">
        <w:rPr>
          <w:rFonts w:ascii="Arial" w:hAnsi="Arial" w:cs="Arial"/>
          <w:sz w:val="20"/>
          <w:szCs w:val="20"/>
        </w:rPr>
        <w:t xml:space="preserve"> Approving the content of </w:t>
      </w:r>
      <w:r>
        <w:rPr>
          <w:rFonts w:ascii="Arial" w:hAnsi="Arial" w:cs="Arial"/>
          <w:sz w:val="20"/>
          <w:szCs w:val="20"/>
        </w:rPr>
        <w:t xml:space="preserve">statement </w:t>
      </w:r>
      <w:r w:rsidRPr="00517B2C">
        <w:rPr>
          <w:rFonts w:ascii="Arial" w:hAnsi="Arial" w:cs="Arial"/>
          <w:sz w:val="20"/>
          <w:szCs w:val="20"/>
        </w:rPr>
        <w:t>No. 09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HDQT - VFS on the plan for raising capital in 2020</w:t>
      </w:r>
    </w:p>
    <w:p w:rsidR="00517B2C" w:rsidRDefault="00517B2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</w:t>
      </w:r>
      <w:r w:rsidRPr="00517B2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Approve the</w:t>
      </w:r>
      <w:r w:rsidRPr="00517B2C">
        <w:rPr>
          <w:rFonts w:ascii="Arial" w:hAnsi="Arial" w:cs="Arial"/>
          <w:sz w:val="20"/>
          <w:szCs w:val="20"/>
        </w:rPr>
        <w:t xml:space="preserve"> content of </w:t>
      </w:r>
      <w:r>
        <w:rPr>
          <w:rFonts w:ascii="Arial" w:hAnsi="Arial" w:cs="Arial"/>
          <w:sz w:val="20"/>
          <w:szCs w:val="20"/>
        </w:rPr>
        <w:t>statement No. 10/</w:t>
      </w:r>
      <w:proofErr w:type="spellStart"/>
      <w:r w:rsidRPr="00517B2C">
        <w:rPr>
          <w:rFonts w:ascii="Arial" w:hAnsi="Arial" w:cs="Arial"/>
          <w:sz w:val="20"/>
          <w:szCs w:val="20"/>
        </w:rPr>
        <w:t>TTr</w:t>
      </w:r>
      <w:proofErr w:type="spellEnd"/>
      <w:r w:rsidRPr="00517B2C">
        <w:rPr>
          <w:rFonts w:ascii="Arial" w:hAnsi="Arial" w:cs="Arial"/>
          <w:sz w:val="20"/>
          <w:szCs w:val="20"/>
        </w:rPr>
        <w:t xml:space="preserve"> - HDQT - VFS about </w:t>
      </w:r>
      <w:r w:rsidR="008C51F1">
        <w:rPr>
          <w:rFonts w:ascii="Arial" w:hAnsi="Arial" w:cs="Arial"/>
          <w:sz w:val="20"/>
          <w:szCs w:val="20"/>
        </w:rPr>
        <w:t>amendments to</w:t>
      </w:r>
      <w:r w:rsidRPr="00517B2C">
        <w:rPr>
          <w:rFonts w:ascii="Arial" w:hAnsi="Arial" w:cs="Arial"/>
          <w:sz w:val="20"/>
          <w:szCs w:val="20"/>
        </w:rPr>
        <w:t xml:space="preserve"> the Company's Charter </w:t>
      </w:r>
    </w:p>
    <w:p w:rsidR="008C51F1" w:rsidRDefault="008C51F1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 Approve the statement on purpose of use of the proceeds from the share issue to raise charter capital in 2019 as follows:</w:t>
      </w:r>
    </w:p>
    <w:p w:rsidR="008C51F1" w:rsidRDefault="008C51F1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Plan on</w:t>
      </w:r>
      <w:r w:rsidRPr="008C51F1">
        <w:rPr>
          <w:rFonts w:ascii="Arial" w:hAnsi="Arial" w:cs="Arial"/>
          <w:sz w:val="20"/>
          <w:szCs w:val="20"/>
        </w:rPr>
        <w:t xml:space="preserve"> use </w:t>
      </w:r>
      <w:r>
        <w:rPr>
          <w:rFonts w:ascii="Arial" w:hAnsi="Arial" w:cs="Arial"/>
          <w:sz w:val="20"/>
          <w:szCs w:val="20"/>
        </w:rPr>
        <w:t xml:space="preserve">of </w:t>
      </w:r>
      <w:r w:rsidRPr="008C51F1">
        <w:rPr>
          <w:rFonts w:ascii="Arial" w:hAnsi="Arial" w:cs="Arial"/>
          <w:sz w:val="20"/>
          <w:szCs w:val="20"/>
        </w:rPr>
        <w:t xml:space="preserve">the proceeds from the private placement of stocks in 2019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646"/>
        <w:gridCol w:w="3192"/>
      </w:tblGrid>
      <w:tr w:rsidR="008C51F1" w:rsidTr="008C51F1">
        <w:tc>
          <w:tcPr>
            <w:tcW w:w="738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46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3192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8C51F1" w:rsidTr="008C51F1">
        <w:tc>
          <w:tcPr>
            <w:tcW w:w="738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46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Supplementing capital for margin lending activities</w:t>
            </w:r>
          </w:p>
        </w:tc>
        <w:tc>
          <w:tcPr>
            <w:tcW w:w="3192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160,000,000,000</w:t>
            </w:r>
          </w:p>
        </w:tc>
      </w:tr>
      <w:tr w:rsidR="008C51F1" w:rsidTr="008C51F1">
        <w:tc>
          <w:tcPr>
            <w:tcW w:w="738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6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C51F1">
              <w:rPr>
                <w:rFonts w:ascii="Arial" w:hAnsi="Arial" w:cs="Arial"/>
                <w:sz w:val="20"/>
                <w:szCs w:val="20"/>
              </w:rPr>
              <w:t>upplement capital for dealing activities</w:t>
            </w:r>
          </w:p>
        </w:tc>
        <w:tc>
          <w:tcPr>
            <w:tcW w:w="3192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50,000,000,000</w:t>
            </w:r>
          </w:p>
        </w:tc>
      </w:tr>
      <w:tr w:rsidR="008C51F1" w:rsidTr="008C51F1">
        <w:tc>
          <w:tcPr>
            <w:tcW w:w="738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192" w:type="dxa"/>
          </w:tcPr>
          <w:p w:rsidR="008C51F1" w:rsidRDefault="008C51F1" w:rsidP="008C51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210,000,000,000</w:t>
            </w:r>
          </w:p>
        </w:tc>
      </w:tr>
    </w:tbl>
    <w:p w:rsidR="008C51F1" w:rsidRDefault="008C51F1" w:rsidP="008C51F1">
      <w:pPr>
        <w:spacing w:line="360" w:lineRule="auto"/>
        <w:rPr>
          <w:rFonts w:ascii="Arial" w:hAnsi="Arial" w:cs="Arial"/>
          <w:sz w:val="20"/>
          <w:szCs w:val="20"/>
        </w:rPr>
      </w:pPr>
    </w:p>
    <w:p w:rsidR="00D936AC" w:rsidRDefault="008C51F1" w:rsidP="008C51F1">
      <w:pPr>
        <w:spacing w:line="360" w:lineRule="auto"/>
        <w:rPr>
          <w:rFonts w:ascii="Arial" w:hAnsi="Arial" w:cs="Arial"/>
          <w:sz w:val="20"/>
          <w:szCs w:val="20"/>
        </w:rPr>
      </w:pPr>
      <w:r w:rsidRPr="008C51F1">
        <w:rPr>
          <w:rFonts w:ascii="Arial" w:hAnsi="Arial" w:cs="Arial"/>
          <w:sz w:val="20"/>
          <w:szCs w:val="20"/>
        </w:rPr>
        <w:t xml:space="preserve">2.  Based on the fact, the proceeds from the private </w:t>
      </w:r>
      <w:r w:rsidR="00D936AC">
        <w:rPr>
          <w:rFonts w:ascii="Arial" w:hAnsi="Arial" w:cs="Arial"/>
          <w:sz w:val="20"/>
          <w:szCs w:val="20"/>
        </w:rPr>
        <w:t>placement of stocks in 2019 was</w:t>
      </w:r>
      <w:r w:rsidRPr="008C51F1">
        <w:rPr>
          <w:rFonts w:ascii="Arial" w:hAnsi="Arial" w:cs="Arial"/>
          <w:sz w:val="20"/>
          <w:szCs w:val="20"/>
        </w:rPr>
        <w:t xml:space="preserve"> used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120"/>
        <w:gridCol w:w="2718"/>
      </w:tblGrid>
      <w:tr w:rsidR="00D936AC" w:rsidTr="00D936AC">
        <w:tc>
          <w:tcPr>
            <w:tcW w:w="73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20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71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D936AC" w:rsidTr="00D936AC">
        <w:tc>
          <w:tcPr>
            <w:tcW w:w="73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C51F1">
              <w:rPr>
                <w:rFonts w:ascii="Arial" w:hAnsi="Arial" w:cs="Arial"/>
                <w:sz w:val="20"/>
                <w:szCs w:val="20"/>
              </w:rPr>
              <w:t xml:space="preserve">ayment for buying bonds of </w:t>
            </w:r>
            <w:r>
              <w:rPr>
                <w:rFonts w:ascii="Arial" w:hAnsi="Arial" w:cs="Arial"/>
                <w:sz w:val="20"/>
                <w:szCs w:val="20"/>
              </w:rPr>
              <w:t xml:space="preserve">AFG Da Nang </w:t>
            </w:r>
            <w:r w:rsidRPr="008C51F1">
              <w:rPr>
                <w:rFonts w:ascii="Arial" w:hAnsi="Arial" w:cs="Arial"/>
                <w:sz w:val="20"/>
                <w:szCs w:val="20"/>
              </w:rPr>
              <w:t>Investment Joint Stock Company</w:t>
            </w:r>
          </w:p>
        </w:tc>
        <w:tc>
          <w:tcPr>
            <w:tcW w:w="271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60,000,000,000</w:t>
            </w:r>
          </w:p>
        </w:tc>
      </w:tr>
      <w:tr w:rsidR="00D936AC" w:rsidTr="00D936AC">
        <w:tc>
          <w:tcPr>
            <w:tcW w:w="73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20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 xml:space="preserve">Payment for purchase of bonds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Pr="008C51F1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8C5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51F1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8C51F1">
              <w:rPr>
                <w:rFonts w:ascii="Arial" w:hAnsi="Arial" w:cs="Arial"/>
                <w:sz w:val="20"/>
                <w:szCs w:val="20"/>
              </w:rPr>
              <w:t xml:space="preserve"> Real Estate </w:t>
            </w:r>
            <w:r>
              <w:rPr>
                <w:rFonts w:ascii="Arial" w:hAnsi="Arial" w:cs="Arial"/>
                <w:sz w:val="20"/>
                <w:szCs w:val="20"/>
              </w:rPr>
              <w:t>Joint Stock Company</w:t>
            </w:r>
          </w:p>
        </w:tc>
        <w:tc>
          <w:tcPr>
            <w:tcW w:w="271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60,000,000,000</w:t>
            </w:r>
          </w:p>
        </w:tc>
      </w:tr>
      <w:tr w:rsidR="00D936AC" w:rsidTr="00D936AC">
        <w:tc>
          <w:tcPr>
            <w:tcW w:w="73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0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Payment for buying shares of Ngoc Thao Investment Joint Stock Company</w:t>
            </w:r>
          </w:p>
        </w:tc>
        <w:tc>
          <w:tcPr>
            <w:tcW w:w="271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10,000,000,000</w:t>
            </w:r>
          </w:p>
        </w:tc>
      </w:tr>
      <w:tr w:rsidR="00D936AC" w:rsidTr="00D936AC">
        <w:tc>
          <w:tcPr>
            <w:tcW w:w="73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20" w:type="dxa"/>
          </w:tcPr>
          <w:p w:rsidR="00D936AC" w:rsidRDefault="00D936AC" w:rsidP="00D936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Additi</w:t>
            </w:r>
            <w:r>
              <w:rPr>
                <w:rFonts w:ascii="Arial" w:hAnsi="Arial" w:cs="Arial"/>
                <w:sz w:val="20"/>
                <w:szCs w:val="20"/>
              </w:rPr>
              <w:t xml:space="preserve">onal capital for </w:t>
            </w:r>
            <w:r w:rsidRPr="00D936AC">
              <w:rPr>
                <w:rFonts w:ascii="Arial" w:hAnsi="Arial" w:cs="Arial"/>
                <w:sz w:val="20"/>
                <w:szCs w:val="20"/>
              </w:rPr>
              <w:t>margin loan</w:t>
            </w:r>
            <w:r>
              <w:rPr>
                <w:rFonts w:ascii="Arial" w:hAnsi="Arial" w:cs="Arial"/>
                <w:sz w:val="20"/>
                <w:szCs w:val="20"/>
              </w:rPr>
              <w:t xml:space="preserve"> operation </w:t>
            </w:r>
          </w:p>
        </w:tc>
        <w:tc>
          <w:tcPr>
            <w:tcW w:w="271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1F1">
              <w:rPr>
                <w:rFonts w:ascii="Arial" w:hAnsi="Arial" w:cs="Arial"/>
                <w:sz w:val="20"/>
                <w:szCs w:val="20"/>
              </w:rPr>
              <w:t>80,000,000,000</w:t>
            </w:r>
          </w:p>
        </w:tc>
      </w:tr>
      <w:tr w:rsidR="00D936AC" w:rsidTr="00D936AC">
        <w:tc>
          <w:tcPr>
            <w:tcW w:w="73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718" w:type="dxa"/>
          </w:tcPr>
          <w:p w:rsidR="00D936AC" w:rsidRDefault="00D936AC" w:rsidP="008F1C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210,000</w:t>
            </w:r>
            <w:r w:rsidRPr="008C51F1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</w:tr>
    </w:tbl>
    <w:p w:rsidR="00517B2C" w:rsidRDefault="00517B2C">
      <w:pPr>
        <w:spacing w:line="360" w:lineRule="auto"/>
        <w:rPr>
          <w:rFonts w:ascii="Arial" w:hAnsi="Arial" w:cs="Arial"/>
          <w:sz w:val="20"/>
          <w:szCs w:val="20"/>
        </w:rPr>
      </w:pPr>
    </w:p>
    <w:p w:rsidR="00D936AC" w:rsidRDefault="00D936A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12:</w:t>
      </w:r>
      <w:r w:rsidRPr="00D936AC">
        <w:rPr>
          <w:rFonts w:ascii="Arial" w:hAnsi="Arial" w:cs="Arial"/>
          <w:sz w:val="20"/>
          <w:szCs w:val="20"/>
        </w:rPr>
        <w:t xml:space="preserve"> Approving the conte</w:t>
      </w:r>
      <w:r>
        <w:rPr>
          <w:rFonts w:ascii="Arial" w:hAnsi="Arial" w:cs="Arial"/>
          <w:sz w:val="20"/>
          <w:szCs w:val="20"/>
        </w:rPr>
        <w:t>nt of additional registration for the securities issuance g</w:t>
      </w:r>
      <w:r w:rsidRPr="00D936AC">
        <w:rPr>
          <w:rFonts w:ascii="Arial" w:hAnsi="Arial" w:cs="Arial"/>
          <w:sz w:val="20"/>
          <w:szCs w:val="20"/>
        </w:rPr>
        <w:t>uarantee operation of the Company with th</w:t>
      </w:r>
      <w:r>
        <w:rPr>
          <w:rFonts w:ascii="Arial" w:hAnsi="Arial" w:cs="Arial"/>
          <w:sz w:val="20"/>
          <w:szCs w:val="20"/>
        </w:rPr>
        <w:t>e State Securities Commission</w:t>
      </w:r>
    </w:p>
    <w:p w:rsidR="00D936AC" w:rsidRDefault="00D936A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6A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D936AC">
        <w:rPr>
          <w:rFonts w:ascii="Arial" w:hAnsi="Arial" w:cs="Arial"/>
          <w:sz w:val="20"/>
          <w:szCs w:val="20"/>
        </w:rPr>
        <w:t xml:space="preserve"> authorizes the Board of Directors to carry out the work, procedures and sign documents to complete the Company's securities issuance under</w:t>
      </w:r>
      <w:r>
        <w:rPr>
          <w:rFonts w:ascii="Arial" w:hAnsi="Arial" w:cs="Arial"/>
          <w:sz w:val="20"/>
          <w:szCs w:val="20"/>
        </w:rPr>
        <w:t>writing operation registration</w:t>
      </w:r>
    </w:p>
    <w:p w:rsidR="00D936AC" w:rsidRDefault="00D936A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Article 13: </w:t>
      </w:r>
      <w:r w:rsidRPr="00D936AC">
        <w:rPr>
          <w:rFonts w:ascii="Arial" w:hAnsi="Arial" w:cs="Arial"/>
          <w:sz w:val="20"/>
          <w:szCs w:val="20"/>
        </w:rPr>
        <w:t>Approvi</w:t>
      </w:r>
      <w:r>
        <w:rPr>
          <w:rFonts w:ascii="Arial" w:hAnsi="Arial" w:cs="Arial"/>
          <w:sz w:val="20"/>
          <w:szCs w:val="20"/>
        </w:rPr>
        <w:t>ng the content of authorization for t</w:t>
      </w:r>
      <w:r w:rsidRPr="00D936AC">
        <w:rPr>
          <w:rFonts w:ascii="Arial" w:hAnsi="Arial" w:cs="Arial"/>
          <w:sz w:val="20"/>
          <w:szCs w:val="20"/>
        </w:rPr>
        <w:t xml:space="preserve">he Board of Directors </w:t>
      </w:r>
      <w:r>
        <w:rPr>
          <w:rFonts w:ascii="Arial" w:hAnsi="Arial" w:cs="Arial"/>
          <w:sz w:val="20"/>
          <w:szCs w:val="20"/>
        </w:rPr>
        <w:t xml:space="preserve">to </w:t>
      </w:r>
      <w:r w:rsidRPr="00D936AC">
        <w:rPr>
          <w:rFonts w:ascii="Arial" w:hAnsi="Arial" w:cs="Arial"/>
          <w:sz w:val="20"/>
          <w:szCs w:val="20"/>
        </w:rPr>
        <w:t xml:space="preserve">approve the contents under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D936AC" w:rsidRDefault="00D936A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6AC">
        <w:rPr>
          <w:rFonts w:ascii="Arial" w:hAnsi="Arial" w:cs="Arial"/>
          <w:sz w:val="20"/>
          <w:szCs w:val="20"/>
        </w:rPr>
        <w:t>To be proactive in th</w:t>
      </w:r>
      <w:r>
        <w:rPr>
          <w:rFonts w:ascii="Arial" w:hAnsi="Arial" w:cs="Arial"/>
          <w:sz w:val="20"/>
          <w:szCs w:val="20"/>
        </w:rPr>
        <w:t>e process of business operation</w:t>
      </w:r>
      <w:r w:rsidRPr="00D936AC">
        <w:rPr>
          <w:rFonts w:ascii="Arial" w:hAnsi="Arial" w:cs="Arial"/>
          <w:sz w:val="20"/>
          <w:szCs w:val="20"/>
        </w:rPr>
        <w:t xml:space="preserve">, ensure the completion of the set plan.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D936AC">
        <w:rPr>
          <w:rFonts w:ascii="Arial" w:hAnsi="Arial" w:cs="Arial"/>
          <w:sz w:val="20"/>
          <w:szCs w:val="20"/>
        </w:rPr>
        <w:t xml:space="preserve">General Meeting of Shareholders authorized the Board of Directors to proactively decide and deploy the work contents approved by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D936AC">
        <w:rPr>
          <w:rFonts w:ascii="Arial" w:hAnsi="Arial" w:cs="Arial"/>
          <w:sz w:val="20"/>
          <w:szCs w:val="20"/>
        </w:rPr>
        <w:t xml:space="preserve">General Meeting of Shareholders (including the implementation of </w:t>
      </w:r>
      <w:r>
        <w:rPr>
          <w:rFonts w:ascii="Arial" w:hAnsi="Arial" w:cs="Arial"/>
          <w:sz w:val="20"/>
          <w:szCs w:val="20"/>
        </w:rPr>
        <w:t>procedures, and work orders</w:t>
      </w:r>
      <w:r w:rsidRPr="00D936AC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the</w:t>
      </w:r>
      <w:r w:rsidRPr="00D936AC">
        <w:rPr>
          <w:rFonts w:ascii="Arial" w:hAnsi="Arial" w:cs="Arial"/>
          <w:sz w:val="20"/>
          <w:szCs w:val="20"/>
        </w:rPr>
        <w:t xml:space="preserve"> competent state agencies to achieve the </w:t>
      </w:r>
      <w:r>
        <w:rPr>
          <w:rFonts w:ascii="Arial" w:hAnsi="Arial" w:cs="Arial"/>
          <w:sz w:val="20"/>
          <w:szCs w:val="20"/>
        </w:rPr>
        <w:t>plan in accordance with the law)</w:t>
      </w:r>
    </w:p>
    <w:p w:rsidR="00D936AC" w:rsidRDefault="00D936AC" w:rsidP="00D936AC">
      <w:pPr>
        <w:spacing w:line="360" w:lineRule="auto"/>
        <w:rPr>
          <w:rFonts w:ascii="Arial" w:hAnsi="Arial" w:cs="Arial"/>
          <w:sz w:val="20"/>
          <w:szCs w:val="20"/>
        </w:rPr>
      </w:pPr>
      <w:r w:rsidRPr="00D936AC">
        <w:rPr>
          <w:rFonts w:ascii="Arial" w:hAnsi="Arial" w:cs="Arial"/>
          <w:sz w:val="20"/>
          <w:szCs w:val="20"/>
        </w:rPr>
        <w:t>Article 14</w:t>
      </w:r>
      <w:r>
        <w:rPr>
          <w:rFonts w:ascii="Arial" w:hAnsi="Arial" w:cs="Arial"/>
          <w:sz w:val="20"/>
          <w:szCs w:val="20"/>
        </w:rPr>
        <w:t>:</w:t>
      </w:r>
      <w:r w:rsidRPr="00D936AC">
        <w:rPr>
          <w:rFonts w:ascii="Arial" w:hAnsi="Arial" w:cs="Arial"/>
          <w:sz w:val="20"/>
          <w:szCs w:val="20"/>
        </w:rPr>
        <w:t xml:space="preserve"> Implementing provisions  </w:t>
      </w:r>
    </w:p>
    <w:p w:rsidR="00D936AC" w:rsidRPr="00D936AC" w:rsidRDefault="00D936AC" w:rsidP="00D9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36AC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annual General Mandate</w:t>
      </w:r>
      <w:r w:rsidRPr="00D936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</w:t>
      </w:r>
      <w:r w:rsidRPr="00D936AC">
        <w:rPr>
          <w:rFonts w:ascii="Arial" w:hAnsi="Arial" w:cs="Arial"/>
          <w:sz w:val="20"/>
          <w:szCs w:val="20"/>
        </w:rPr>
        <w:t xml:space="preserve"> approved by the Annual General Meeting of Shareholders of Viet First Securities Corporation in 2020 and comes into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D936AC">
        <w:rPr>
          <w:rFonts w:ascii="Arial" w:hAnsi="Arial" w:cs="Arial"/>
          <w:sz w:val="20"/>
          <w:szCs w:val="20"/>
        </w:rPr>
        <w:t xml:space="preserve">Members of the Board of Directors, the Supervisory Board and the </w:t>
      </w:r>
      <w:r>
        <w:rPr>
          <w:rFonts w:ascii="Arial" w:hAnsi="Arial" w:cs="Arial"/>
          <w:sz w:val="20"/>
          <w:szCs w:val="20"/>
        </w:rPr>
        <w:t>Management Board</w:t>
      </w:r>
      <w:r w:rsidRPr="00D936AC">
        <w:rPr>
          <w:rFonts w:ascii="Arial" w:hAnsi="Arial" w:cs="Arial"/>
          <w:sz w:val="20"/>
          <w:szCs w:val="20"/>
        </w:rPr>
        <w:t xml:space="preserve"> are responsible for the implementation of this </w:t>
      </w:r>
      <w:r>
        <w:rPr>
          <w:rFonts w:ascii="Arial" w:hAnsi="Arial" w:cs="Arial"/>
          <w:sz w:val="20"/>
          <w:szCs w:val="20"/>
        </w:rPr>
        <w:t>annual General Mandate and organizing</w:t>
      </w:r>
      <w:r w:rsidRPr="00D936AC">
        <w:rPr>
          <w:rFonts w:ascii="Arial" w:hAnsi="Arial" w:cs="Arial"/>
          <w:sz w:val="20"/>
          <w:szCs w:val="20"/>
        </w:rPr>
        <w:t xml:space="preserve"> the implementation in accordance with the provisions of law and </w:t>
      </w:r>
      <w:r>
        <w:rPr>
          <w:rFonts w:ascii="Arial" w:hAnsi="Arial" w:cs="Arial"/>
          <w:sz w:val="20"/>
          <w:szCs w:val="20"/>
        </w:rPr>
        <w:t>Charter</w:t>
      </w:r>
      <w:r w:rsidRPr="00D936AC">
        <w:rPr>
          <w:rFonts w:ascii="Arial" w:hAnsi="Arial" w:cs="Arial"/>
          <w:sz w:val="20"/>
          <w:szCs w:val="20"/>
        </w:rPr>
        <w:t xml:space="preserve"> of the Company</w:t>
      </w:r>
    </w:p>
    <w:sectPr w:rsidR="00D936AC" w:rsidRPr="00D9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D37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A6CE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34825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50B5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3F"/>
    <w:rsid w:val="004B4798"/>
    <w:rsid w:val="004C0DD9"/>
    <w:rsid w:val="004C144F"/>
    <w:rsid w:val="004D70F9"/>
    <w:rsid w:val="004E4C16"/>
    <w:rsid w:val="004F3452"/>
    <w:rsid w:val="00503DD6"/>
    <w:rsid w:val="00505065"/>
    <w:rsid w:val="00517B2C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6DB2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4C8E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75247"/>
    <w:rsid w:val="00882307"/>
    <w:rsid w:val="00884B9C"/>
    <w:rsid w:val="00887454"/>
    <w:rsid w:val="008C0872"/>
    <w:rsid w:val="008C51F1"/>
    <w:rsid w:val="008C7A42"/>
    <w:rsid w:val="00910D86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343D"/>
    <w:rsid w:val="00964DEC"/>
    <w:rsid w:val="00966EA5"/>
    <w:rsid w:val="00980267"/>
    <w:rsid w:val="00981275"/>
    <w:rsid w:val="00981536"/>
    <w:rsid w:val="00985126"/>
    <w:rsid w:val="0099040A"/>
    <w:rsid w:val="00993C9E"/>
    <w:rsid w:val="009A6F47"/>
    <w:rsid w:val="009C28F2"/>
    <w:rsid w:val="009E1744"/>
    <w:rsid w:val="009E4AC5"/>
    <w:rsid w:val="009E7C25"/>
    <w:rsid w:val="009F2709"/>
    <w:rsid w:val="00A050AA"/>
    <w:rsid w:val="00A06443"/>
    <w:rsid w:val="00A06521"/>
    <w:rsid w:val="00A128FC"/>
    <w:rsid w:val="00A14EC9"/>
    <w:rsid w:val="00A23E8D"/>
    <w:rsid w:val="00A34999"/>
    <w:rsid w:val="00A4710B"/>
    <w:rsid w:val="00A47614"/>
    <w:rsid w:val="00A61FAF"/>
    <w:rsid w:val="00A63B6C"/>
    <w:rsid w:val="00A87ED0"/>
    <w:rsid w:val="00A92963"/>
    <w:rsid w:val="00A9447E"/>
    <w:rsid w:val="00AA077E"/>
    <w:rsid w:val="00AA4D2D"/>
    <w:rsid w:val="00AA54AD"/>
    <w:rsid w:val="00AB2C99"/>
    <w:rsid w:val="00AB2EDA"/>
    <w:rsid w:val="00AB32F6"/>
    <w:rsid w:val="00AC1F4A"/>
    <w:rsid w:val="00AC4F64"/>
    <w:rsid w:val="00AC5BDC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11B90"/>
    <w:rsid w:val="00C220E2"/>
    <w:rsid w:val="00C2280B"/>
    <w:rsid w:val="00C26F1A"/>
    <w:rsid w:val="00C32F3A"/>
    <w:rsid w:val="00C33F82"/>
    <w:rsid w:val="00C36031"/>
    <w:rsid w:val="00C40291"/>
    <w:rsid w:val="00C47C93"/>
    <w:rsid w:val="00C57CB9"/>
    <w:rsid w:val="00C61E40"/>
    <w:rsid w:val="00C61EAF"/>
    <w:rsid w:val="00C65917"/>
    <w:rsid w:val="00C940B5"/>
    <w:rsid w:val="00C97B83"/>
    <w:rsid w:val="00CA0AB7"/>
    <w:rsid w:val="00CA1BB3"/>
    <w:rsid w:val="00CB5C91"/>
    <w:rsid w:val="00CC39D3"/>
    <w:rsid w:val="00CD1C0C"/>
    <w:rsid w:val="00CD22F3"/>
    <w:rsid w:val="00CD4E16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36AC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3F43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B93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337</cp:revision>
  <dcterms:created xsi:type="dcterms:W3CDTF">2019-10-16T10:03:00Z</dcterms:created>
  <dcterms:modified xsi:type="dcterms:W3CDTF">2020-07-10T11:02:00Z</dcterms:modified>
</cp:coreProperties>
</file>